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009F" w14:textId="77777777" w:rsidR="001F17C8" w:rsidRPr="001F17C8" w:rsidRDefault="001F17C8" w:rsidP="001F17C8">
      <w:pPr>
        <w:autoSpaceDN w:val="0"/>
        <w:jc w:val="center"/>
        <w:rPr>
          <w:b/>
          <w:lang w:eastAsia="en-US"/>
        </w:rPr>
      </w:pPr>
      <w:r w:rsidRPr="001F17C8">
        <w:rPr>
          <w:b/>
          <w:lang w:eastAsia="en-US"/>
        </w:rPr>
        <w:t>MARIJAMPOLĖS SPORTO CENTRO DIREKTORIAUS</w:t>
      </w:r>
    </w:p>
    <w:p w14:paraId="6ACCB624" w14:textId="77777777" w:rsidR="001F17C8" w:rsidRPr="001F17C8" w:rsidRDefault="001F17C8" w:rsidP="001F17C8">
      <w:pPr>
        <w:autoSpaceDN w:val="0"/>
        <w:jc w:val="center"/>
        <w:rPr>
          <w:rFonts w:ascii="Calibri" w:hAnsi="Calibri"/>
          <w:kern w:val="3"/>
          <w:sz w:val="22"/>
          <w:szCs w:val="22"/>
          <w:lang w:eastAsia="en-US"/>
        </w:rPr>
      </w:pPr>
      <w:r w:rsidRPr="001F17C8">
        <w:rPr>
          <w:b/>
          <w:lang w:eastAsia="en-US"/>
        </w:rPr>
        <w:t>KAROLIO BAUŽOS</w:t>
      </w:r>
    </w:p>
    <w:p w14:paraId="4A746FE0" w14:textId="1EEEF812" w:rsidR="001F17C8" w:rsidRPr="001F17C8" w:rsidRDefault="001F17C8" w:rsidP="001F17C8">
      <w:pPr>
        <w:tabs>
          <w:tab w:val="left" w:pos="284"/>
        </w:tabs>
        <w:autoSpaceDN w:val="0"/>
        <w:ind w:left="426" w:hanging="360"/>
        <w:jc w:val="center"/>
        <w:rPr>
          <w:b/>
          <w:lang w:eastAsia="en-US"/>
        </w:rPr>
      </w:pPr>
      <w:r w:rsidRPr="001F17C8">
        <w:rPr>
          <w:b/>
          <w:lang w:eastAsia="en-US"/>
        </w:rPr>
        <w:t>202</w:t>
      </w:r>
      <w:r w:rsidR="00E8796A">
        <w:rPr>
          <w:b/>
          <w:lang w:eastAsia="en-US"/>
        </w:rPr>
        <w:t>4</w:t>
      </w:r>
      <w:r w:rsidRPr="001F17C8">
        <w:rPr>
          <w:b/>
          <w:lang w:eastAsia="en-US"/>
        </w:rPr>
        <w:t>-ŲJŲ METŲ UŽDUOTYS</w:t>
      </w:r>
    </w:p>
    <w:p w14:paraId="45E42333" w14:textId="77777777" w:rsidR="001B03E4" w:rsidRPr="00516B79" w:rsidRDefault="001B03E4">
      <w:pPr>
        <w:rPr>
          <w:rFonts w:ascii="Verdana" w:hAnsi="Verdana"/>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237"/>
        <w:gridCol w:w="4962"/>
      </w:tblGrid>
      <w:tr w:rsidR="001B03E4" w:rsidRPr="00516B79" w14:paraId="6D93DA1F" w14:textId="77777777" w:rsidTr="001F17C8">
        <w:tc>
          <w:tcPr>
            <w:tcW w:w="4253" w:type="dxa"/>
            <w:tcBorders>
              <w:top w:val="single" w:sz="4" w:space="0" w:color="auto"/>
              <w:left w:val="single" w:sz="4" w:space="0" w:color="auto"/>
              <w:bottom w:val="single" w:sz="4" w:space="0" w:color="auto"/>
              <w:right w:val="single" w:sz="4" w:space="0" w:color="auto"/>
            </w:tcBorders>
            <w:vAlign w:val="center"/>
            <w:hideMark/>
          </w:tcPr>
          <w:p w14:paraId="5C27428D" w14:textId="77777777" w:rsidR="001B03E4" w:rsidRPr="0030262E" w:rsidRDefault="002A5142">
            <w:pPr>
              <w:jc w:val="center"/>
              <w:rPr>
                <w:rFonts w:ascii="Verdana" w:hAnsi="Verdana"/>
                <w:bCs/>
              </w:rPr>
            </w:pPr>
            <w:r w:rsidRPr="0030262E">
              <w:rPr>
                <w:rFonts w:ascii="Verdana" w:hAnsi="Verdana"/>
                <w:bCs/>
              </w:rPr>
              <w:t>Einamųjų metų užduotys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31120F" w14:textId="77777777" w:rsidR="001B03E4" w:rsidRPr="0030262E" w:rsidRDefault="002A5142">
            <w:pPr>
              <w:jc w:val="center"/>
              <w:rPr>
                <w:rFonts w:ascii="Verdana" w:hAnsi="Verdana"/>
                <w:bCs/>
              </w:rPr>
            </w:pPr>
            <w:r w:rsidRPr="0030262E">
              <w:rPr>
                <w:rFonts w:ascii="Verdana" w:hAnsi="Verdana"/>
                <w:bCs/>
              </w:rPr>
              <w:t>Siektini rezultatai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A8EA670" w14:textId="77777777" w:rsidR="001B03E4" w:rsidRPr="0030262E" w:rsidRDefault="002A5142">
            <w:pPr>
              <w:jc w:val="center"/>
              <w:rPr>
                <w:rFonts w:ascii="Verdana" w:hAnsi="Verdana"/>
                <w:bCs/>
              </w:rPr>
            </w:pPr>
            <w:r w:rsidRPr="0030262E">
              <w:rPr>
                <w:rFonts w:ascii="Verdana" w:hAnsi="Verdana"/>
                <w:bCs/>
              </w:rPr>
              <w:t>Nustatyti rezultatų vertinimo rodikliai (kiekybiniai, kokybiniai, laiko ir kiti rodikliai, kuriais vadovaudamasis tiesioginis darbuotojo vadovas / į pareigas priimantis ar jo įgaliotas asmuo vertina, ar nustatytos užduotys įvykdytos)</w:t>
            </w:r>
          </w:p>
        </w:tc>
      </w:tr>
      <w:tr w:rsidR="008B43DB" w:rsidRPr="00516B79" w14:paraId="48ACDC79" w14:textId="77777777" w:rsidTr="001F17C8">
        <w:tc>
          <w:tcPr>
            <w:tcW w:w="4253" w:type="dxa"/>
            <w:tcBorders>
              <w:top w:val="single" w:sz="4" w:space="0" w:color="auto"/>
              <w:left w:val="single" w:sz="4" w:space="0" w:color="auto"/>
              <w:bottom w:val="single" w:sz="4" w:space="0" w:color="auto"/>
              <w:right w:val="single" w:sz="4" w:space="0" w:color="auto"/>
            </w:tcBorders>
            <w:hideMark/>
          </w:tcPr>
          <w:p w14:paraId="769521C8" w14:textId="77777777" w:rsidR="008B43DB" w:rsidRPr="0030262E" w:rsidRDefault="008B43DB" w:rsidP="008B43DB">
            <w:pPr>
              <w:spacing w:line="256" w:lineRule="auto"/>
              <w:rPr>
                <w:rFonts w:ascii="Verdana" w:hAnsi="Verdana"/>
              </w:rPr>
            </w:pPr>
            <w:r w:rsidRPr="0030262E">
              <w:rPr>
                <w:rFonts w:ascii="Verdana" w:hAnsi="Verdana"/>
              </w:rPr>
              <w:t>2.1. Organizuoti Marijampolės savivaldybės sporto renginius.</w:t>
            </w:r>
          </w:p>
          <w:p w14:paraId="5C23C362" w14:textId="0946A784" w:rsidR="008B43DB" w:rsidRPr="0030262E" w:rsidRDefault="008B43DB" w:rsidP="008B43DB">
            <w:pPr>
              <w:rPr>
                <w:rFonts w:ascii="Verdana" w:hAnsi="Verdana"/>
              </w:rPr>
            </w:pPr>
          </w:p>
        </w:tc>
        <w:tc>
          <w:tcPr>
            <w:tcW w:w="6237" w:type="dxa"/>
            <w:tcBorders>
              <w:top w:val="single" w:sz="4" w:space="0" w:color="auto"/>
              <w:left w:val="single" w:sz="4" w:space="0" w:color="auto"/>
              <w:bottom w:val="single" w:sz="4" w:space="0" w:color="auto"/>
              <w:right w:val="single" w:sz="4" w:space="0" w:color="auto"/>
            </w:tcBorders>
          </w:tcPr>
          <w:p w14:paraId="523DE3A6" w14:textId="77777777" w:rsidR="008B43DB" w:rsidRPr="0030262E" w:rsidRDefault="008B43DB" w:rsidP="00E13AA2">
            <w:pPr>
              <w:rPr>
                <w:rFonts w:ascii="Verdana" w:hAnsi="Verdana"/>
              </w:rPr>
            </w:pPr>
            <w:r w:rsidRPr="0030262E">
              <w:rPr>
                <w:rFonts w:ascii="Verdana" w:hAnsi="Verdana"/>
              </w:rPr>
              <w:t>Suorganizuoti šiuos renginius Marijampolės savivaldybėje:</w:t>
            </w:r>
          </w:p>
          <w:p w14:paraId="2B534A06" w14:textId="77777777" w:rsidR="008B43DB" w:rsidRPr="0030262E" w:rsidRDefault="008B43DB" w:rsidP="00E13AA2">
            <w:pPr>
              <w:rPr>
                <w:rFonts w:ascii="Verdana" w:hAnsi="Verdana"/>
              </w:rPr>
            </w:pPr>
            <w:r w:rsidRPr="0030262E">
              <w:rPr>
                <w:rFonts w:ascii="Verdana" w:hAnsi="Verdana"/>
              </w:rPr>
              <w:t>- seniūnijų žaidynes;</w:t>
            </w:r>
          </w:p>
          <w:p w14:paraId="354B7F2E" w14:textId="77777777" w:rsidR="008B43DB" w:rsidRPr="0030262E" w:rsidRDefault="008B43DB" w:rsidP="00E13AA2">
            <w:pPr>
              <w:rPr>
                <w:rFonts w:ascii="Verdana" w:hAnsi="Verdana"/>
              </w:rPr>
            </w:pPr>
            <w:r w:rsidRPr="0030262E">
              <w:rPr>
                <w:rFonts w:ascii="Verdana" w:hAnsi="Verdana"/>
              </w:rPr>
              <w:t>- Lietuvos mokinių žaidynių zonines varžybas;</w:t>
            </w:r>
          </w:p>
          <w:p w14:paraId="630B64A2" w14:textId="2C5AC7A0" w:rsidR="008B43DB" w:rsidRPr="0030262E" w:rsidRDefault="008B43DB" w:rsidP="00E13AA2">
            <w:pPr>
              <w:rPr>
                <w:rFonts w:ascii="Verdana" w:hAnsi="Verdana"/>
              </w:rPr>
            </w:pPr>
            <w:r w:rsidRPr="0030262E">
              <w:rPr>
                <w:rFonts w:ascii="Verdana" w:hAnsi="Verdana"/>
              </w:rPr>
              <w:t>- „Sporto savaitės“ renginius.</w:t>
            </w:r>
          </w:p>
        </w:tc>
        <w:tc>
          <w:tcPr>
            <w:tcW w:w="4962" w:type="dxa"/>
            <w:tcBorders>
              <w:top w:val="single" w:sz="4" w:space="0" w:color="auto"/>
              <w:left w:val="single" w:sz="4" w:space="0" w:color="auto"/>
              <w:bottom w:val="single" w:sz="4" w:space="0" w:color="auto"/>
              <w:right w:val="single" w:sz="4" w:space="0" w:color="auto"/>
            </w:tcBorders>
          </w:tcPr>
          <w:p w14:paraId="31A91CA4" w14:textId="254DA975" w:rsidR="008B43DB" w:rsidRPr="0030262E" w:rsidRDefault="008B43DB" w:rsidP="008B43DB">
            <w:pPr>
              <w:rPr>
                <w:rFonts w:ascii="Verdana" w:hAnsi="Verdana"/>
              </w:rPr>
            </w:pPr>
            <w:r w:rsidRPr="0030262E">
              <w:rPr>
                <w:rFonts w:ascii="Verdana" w:hAnsi="Verdana"/>
                <w:b/>
                <w:bCs/>
              </w:rPr>
              <w:t>Atitinkantis lūkesčius</w:t>
            </w:r>
            <w:r w:rsidRPr="0030262E">
              <w:rPr>
                <w:rFonts w:ascii="Verdana" w:hAnsi="Verdana"/>
              </w:rPr>
              <w:t xml:space="preserve"> – suorganizuoti trys renginiai.</w:t>
            </w:r>
          </w:p>
          <w:p w14:paraId="3FBC9F69" w14:textId="77777777" w:rsidR="008B43DB" w:rsidRPr="0030262E" w:rsidRDefault="008B43DB" w:rsidP="008B43DB">
            <w:pPr>
              <w:rPr>
                <w:rFonts w:ascii="Verdana" w:hAnsi="Verdana"/>
              </w:rPr>
            </w:pPr>
            <w:r w:rsidRPr="0030262E">
              <w:rPr>
                <w:rFonts w:ascii="Verdana" w:hAnsi="Verdana"/>
                <w:b/>
                <w:bCs/>
              </w:rPr>
              <w:t>Iš dalies atitinkantis</w:t>
            </w:r>
            <w:r w:rsidRPr="0030262E">
              <w:rPr>
                <w:rFonts w:ascii="Verdana" w:hAnsi="Verdana"/>
              </w:rPr>
              <w:t xml:space="preserve"> lūkesčius – suorganizuotas 2 renginiai.</w:t>
            </w:r>
          </w:p>
          <w:p w14:paraId="4720997B" w14:textId="330430B2" w:rsidR="008B43DB" w:rsidRPr="0030262E" w:rsidRDefault="008B43DB" w:rsidP="008B43DB">
            <w:pPr>
              <w:rPr>
                <w:rFonts w:ascii="Verdana" w:hAnsi="Verdana"/>
              </w:rPr>
            </w:pPr>
            <w:r w:rsidRPr="0030262E">
              <w:rPr>
                <w:rFonts w:ascii="Verdana" w:hAnsi="Verdana"/>
                <w:b/>
                <w:bCs/>
              </w:rPr>
              <w:t>Neatitinkantis lūkesčių</w:t>
            </w:r>
            <w:r w:rsidRPr="0030262E">
              <w:rPr>
                <w:rFonts w:ascii="Verdana" w:hAnsi="Verdana"/>
              </w:rPr>
              <w:t xml:space="preserve"> – nesuorganizuotas nei vienas renginys.</w:t>
            </w:r>
          </w:p>
        </w:tc>
      </w:tr>
      <w:tr w:rsidR="00E13AA2" w:rsidRPr="00516B79" w14:paraId="298A4BEF" w14:textId="77777777" w:rsidTr="001F17C8">
        <w:tc>
          <w:tcPr>
            <w:tcW w:w="4253" w:type="dxa"/>
            <w:tcBorders>
              <w:top w:val="single" w:sz="4" w:space="0" w:color="auto"/>
              <w:left w:val="single" w:sz="4" w:space="0" w:color="auto"/>
              <w:bottom w:val="single" w:sz="4" w:space="0" w:color="auto"/>
              <w:right w:val="single" w:sz="4" w:space="0" w:color="auto"/>
            </w:tcBorders>
            <w:hideMark/>
          </w:tcPr>
          <w:p w14:paraId="4DD04D0D" w14:textId="77777777" w:rsidR="00E13AA2" w:rsidRPr="0030262E" w:rsidRDefault="00E13AA2" w:rsidP="00E13AA2">
            <w:pPr>
              <w:spacing w:line="256" w:lineRule="auto"/>
              <w:rPr>
                <w:rFonts w:ascii="Verdana" w:hAnsi="Verdana"/>
              </w:rPr>
            </w:pPr>
            <w:r w:rsidRPr="0030262E">
              <w:rPr>
                <w:rFonts w:ascii="Verdana" w:hAnsi="Verdana"/>
              </w:rPr>
              <w:t>2.2. Efektyviai išnaudoti elektroninę lankomumo sistemą</w:t>
            </w:r>
          </w:p>
          <w:p w14:paraId="2A92F12A" w14:textId="3FAC3DEC" w:rsidR="00E13AA2" w:rsidRPr="0030262E" w:rsidRDefault="00E13AA2" w:rsidP="00E13AA2">
            <w:pPr>
              <w:rPr>
                <w:rFonts w:ascii="Verdana" w:hAnsi="Verdana"/>
              </w:rPr>
            </w:pPr>
          </w:p>
        </w:tc>
        <w:tc>
          <w:tcPr>
            <w:tcW w:w="6237" w:type="dxa"/>
            <w:tcBorders>
              <w:top w:val="single" w:sz="4" w:space="0" w:color="auto"/>
              <w:left w:val="single" w:sz="4" w:space="0" w:color="auto"/>
              <w:bottom w:val="single" w:sz="4" w:space="0" w:color="auto"/>
              <w:right w:val="single" w:sz="4" w:space="0" w:color="auto"/>
            </w:tcBorders>
          </w:tcPr>
          <w:p w14:paraId="623A9E9D" w14:textId="4B28BCCB" w:rsidR="00E13AA2" w:rsidRPr="0030262E" w:rsidRDefault="00E13AA2" w:rsidP="00E13AA2">
            <w:pPr>
              <w:rPr>
                <w:rFonts w:ascii="Verdana" w:hAnsi="Verdana"/>
              </w:rPr>
            </w:pPr>
            <w:r w:rsidRPr="0030262E">
              <w:rPr>
                <w:rFonts w:ascii="Verdana" w:hAnsi="Verdana"/>
              </w:rPr>
              <w:t>Priemonė – elektroninėje lankomumo sistemoje suvestos visos grupės, priskirti mokiniai, reguliariai vykdoma lankomumo stebėsena ir kontrolė. Daugiau nei 70% mokinių reguliariai atsižymi sistemoje.</w:t>
            </w:r>
          </w:p>
        </w:tc>
        <w:tc>
          <w:tcPr>
            <w:tcW w:w="4962" w:type="dxa"/>
            <w:tcBorders>
              <w:top w:val="single" w:sz="4" w:space="0" w:color="auto"/>
              <w:left w:val="single" w:sz="4" w:space="0" w:color="auto"/>
              <w:bottom w:val="single" w:sz="4" w:space="0" w:color="auto"/>
              <w:right w:val="single" w:sz="4" w:space="0" w:color="auto"/>
            </w:tcBorders>
          </w:tcPr>
          <w:p w14:paraId="74DFA61D" w14:textId="77777777" w:rsidR="00E13AA2" w:rsidRPr="0030262E" w:rsidRDefault="00E13AA2" w:rsidP="00E13AA2">
            <w:pPr>
              <w:spacing w:line="256" w:lineRule="auto"/>
              <w:rPr>
                <w:rFonts w:ascii="Verdana" w:hAnsi="Verdana"/>
                <w:b/>
                <w:lang w:eastAsia="en-US"/>
              </w:rPr>
            </w:pPr>
            <w:r w:rsidRPr="0030262E">
              <w:rPr>
                <w:rFonts w:ascii="Verdana" w:hAnsi="Verdana"/>
                <w:b/>
              </w:rPr>
              <w:t>Atitinkantis/Neatitinkantis lūkesčius</w:t>
            </w:r>
          </w:p>
          <w:p w14:paraId="7DE3DC60" w14:textId="77777777" w:rsidR="00E13AA2" w:rsidRPr="0030262E" w:rsidRDefault="00E13AA2" w:rsidP="00E13AA2">
            <w:pPr>
              <w:jc w:val="center"/>
              <w:rPr>
                <w:rFonts w:ascii="Verdana" w:hAnsi="Verdana"/>
              </w:rPr>
            </w:pPr>
          </w:p>
        </w:tc>
      </w:tr>
      <w:tr w:rsidR="00E13AA2" w:rsidRPr="00516B79" w14:paraId="698BB4EF" w14:textId="77777777" w:rsidTr="001F17C8">
        <w:tc>
          <w:tcPr>
            <w:tcW w:w="4253" w:type="dxa"/>
            <w:tcBorders>
              <w:top w:val="single" w:sz="4" w:space="0" w:color="auto"/>
              <w:left w:val="single" w:sz="4" w:space="0" w:color="auto"/>
              <w:bottom w:val="single" w:sz="4" w:space="0" w:color="auto"/>
              <w:right w:val="single" w:sz="4" w:space="0" w:color="auto"/>
            </w:tcBorders>
          </w:tcPr>
          <w:p w14:paraId="57288C15" w14:textId="19E3D0B5" w:rsidR="00E13AA2" w:rsidRPr="0030262E" w:rsidRDefault="00E13AA2" w:rsidP="00E13AA2">
            <w:pPr>
              <w:spacing w:line="256" w:lineRule="auto"/>
              <w:rPr>
                <w:rFonts w:ascii="Verdana" w:hAnsi="Verdana"/>
              </w:rPr>
            </w:pPr>
            <w:r w:rsidRPr="0030262E">
              <w:rPr>
                <w:rFonts w:ascii="Verdana" w:hAnsi="Verdana"/>
              </w:rPr>
              <w:t>2.3. Užtikrinti ES projektų įgyvendinimą, reikalingų dokumentų parengimą ir pateikimą Marijampolės savivaldybės administracijai.</w:t>
            </w:r>
          </w:p>
        </w:tc>
        <w:tc>
          <w:tcPr>
            <w:tcW w:w="6237" w:type="dxa"/>
            <w:tcBorders>
              <w:top w:val="single" w:sz="4" w:space="0" w:color="auto"/>
              <w:left w:val="single" w:sz="4" w:space="0" w:color="auto"/>
              <w:bottom w:val="single" w:sz="4" w:space="0" w:color="auto"/>
              <w:right w:val="single" w:sz="4" w:space="0" w:color="auto"/>
            </w:tcBorders>
          </w:tcPr>
          <w:p w14:paraId="4992D985" w14:textId="78E255CA" w:rsidR="00E13AA2" w:rsidRPr="0030262E" w:rsidRDefault="00E13AA2" w:rsidP="00E13AA2">
            <w:pPr>
              <w:rPr>
                <w:rFonts w:ascii="Verdana" w:hAnsi="Verdana"/>
              </w:rPr>
            </w:pPr>
            <w:r w:rsidRPr="0030262E">
              <w:rPr>
                <w:rFonts w:ascii="Verdana" w:hAnsi="Verdana"/>
              </w:rPr>
              <w:t>Priemonė – savalaikiai pateikti ir kokybiškai parengti projektams įgyvendinti reikalingi dokumentai</w:t>
            </w:r>
          </w:p>
        </w:tc>
        <w:tc>
          <w:tcPr>
            <w:tcW w:w="4962" w:type="dxa"/>
            <w:tcBorders>
              <w:top w:val="single" w:sz="4" w:space="0" w:color="auto"/>
              <w:left w:val="single" w:sz="4" w:space="0" w:color="auto"/>
              <w:bottom w:val="single" w:sz="4" w:space="0" w:color="auto"/>
              <w:right w:val="single" w:sz="4" w:space="0" w:color="auto"/>
            </w:tcBorders>
          </w:tcPr>
          <w:p w14:paraId="1E021641" w14:textId="77777777" w:rsidR="00E13AA2" w:rsidRPr="0030262E" w:rsidRDefault="00E13AA2" w:rsidP="00E13AA2">
            <w:pPr>
              <w:spacing w:line="256" w:lineRule="auto"/>
              <w:rPr>
                <w:rFonts w:ascii="Verdana" w:hAnsi="Verdana"/>
                <w:b/>
                <w:bCs/>
              </w:rPr>
            </w:pPr>
            <w:r w:rsidRPr="0030262E">
              <w:rPr>
                <w:rFonts w:ascii="Verdana" w:hAnsi="Verdana"/>
                <w:b/>
                <w:bCs/>
              </w:rPr>
              <w:t>Atitinkantis/Neatitinkantis lūkesčius</w:t>
            </w:r>
          </w:p>
          <w:p w14:paraId="21AF9FA1" w14:textId="77777777" w:rsidR="00E13AA2" w:rsidRPr="0030262E" w:rsidRDefault="00E13AA2" w:rsidP="00E13AA2">
            <w:pPr>
              <w:spacing w:line="256" w:lineRule="auto"/>
              <w:rPr>
                <w:rFonts w:ascii="Verdana" w:hAnsi="Verdana"/>
                <w:b/>
              </w:rPr>
            </w:pPr>
          </w:p>
        </w:tc>
      </w:tr>
      <w:tr w:rsidR="00E13AA2" w:rsidRPr="00516B79" w14:paraId="6978E4BB" w14:textId="77777777" w:rsidTr="001F17C8">
        <w:tc>
          <w:tcPr>
            <w:tcW w:w="4253" w:type="dxa"/>
            <w:tcBorders>
              <w:top w:val="single" w:sz="4" w:space="0" w:color="auto"/>
              <w:left w:val="single" w:sz="4" w:space="0" w:color="auto"/>
              <w:bottom w:val="single" w:sz="4" w:space="0" w:color="auto"/>
              <w:right w:val="single" w:sz="4" w:space="0" w:color="auto"/>
            </w:tcBorders>
            <w:hideMark/>
          </w:tcPr>
          <w:p w14:paraId="398FC972" w14:textId="691AB928" w:rsidR="00E13AA2" w:rsidRPr="0030262E" w:rsidRDefault="00E13AA2" w:rsidP="00E13AA2">
            <w:pPr>
              <w:rPr>
                <w:rFonts w:ascii="Verdana" w:hAnsi="Verdana"/>
              </w:rPr>
            </w:pPr>
            <w:r w:rsidRPr="0030262E">
              <w:rPr>
                <w:rFonts w:ascii="Verdana" w:hAnsi="Verdana"/>
              </w:rPr>
              <w:t>2.4. Teisėtai, ekonomiškai, efektyviai ir rezultatyviai naudoti skirtus biudžeto asignavimus.</w:t>
            </w:r>
          </w:p>
        </w:tc>
        <w:tc>
          <w:tcPr>
            <w:tcW w:w="6237" w:type="dxa"/>
            <w:tcBorders>
              <w:top w:val="single" w:sz="4" w:space="0" w:color="auto"/>
              <w:left w:val="single" w:sz="4" w:space="0" w:color="auto"/>
              <w:bottom w:val="single" w:sz="4" w:space="0" w:color="auto"/>
              <w:right w:val="single" w:sz="4" w:space="0" w:color="auto"/>
            </w:tcBorders>
          </w:tcPr>
          <w:p w14:paraId="5C2FE80A" w14:textId="413E2233" w:rsidR="00E13AA2" w:rsidRPr="0030262E" w:rsidRDefault="00E13AA2" w:rsidP="00E13AA2">
            <w:pPr>
              <w:rPr>
                <w:rFonts w:ascii="Verdana" w:hAnsi="Verdana"/>
              </w:rPr>
            </w:pPr>
            <w:r w:rsidRPr="0030262E">
              <w:rPr>
                <w:rFonts w:ascii="Verdana" w:hAnsi="Verdana"/>
              </w:rPr>
              <w:t xml:space="preserve">Priemonė - teisėtai, ekonomiškai, efektyviai ir rezultatyviai naudojami įstaigai skirti biudžeto asignavimai vadovaujantis Mokymo lėšų apskaičiavimo, paskirstymo ir panaudojimo tvarkos aprašu, patvirtintu Lietuvos Respublikos Vyriausybės 2018 m. liepos 11 d. nutarimu Nr. 679 „Dėl Mokymo lėšų apskaičiavimo, </w:t>
            </w:r>
            <w:r w:rsidRPr="0030262E">
              <w:rPr>
                <w:rFonts w:ascii="Verdana" w:hAnsi="Verdana"/>
              </w:rPr>
              <w:lastRenderedPageBreak/>
              <w:t>paskirstymo ir panaudojimo tvarkos aprašo patvirtinimo“, Asignavimų, skirtų švietimo įstaigų ūkio išlaidoms finansuoti, planavimo tvarkos aprašu, patvirtintu Marijampolės savivaldybės mero 2023 m. rugsėjo 14 d. potvarkiu Nr. MV-451 „Dėl Marijampolės savivaldybės biudžeto projekto rengimo tvarkos aprašo patvirtinimo",  Marijampolės savivaldybės mero 2023 m. gruodžio 28 d. potvarkiu Nr. MV-720 „Dėl Marijampolės savivaldybės švietimo, kultūros ir sporto įstaigų pareigybių skaičiaus nustatymo rekomendacijų patvirtinimo“.</w:t>
            </w:r>
          </w:p>
        </w:tc>
        <w:tc>
          <w:tcPr>
            <w:tcW w:w="4962" w:type="dxa"/>
            <w:tcBorders>
              <w:top w:val="single" w:sz="4" w:space="0" w:color="auto"/>
              <w:left w:val="single" w:sz="4" w:space="0" w:color="auto"/>
              <w:bottom w:val="single" w:sz="4" w:space="0" w:color="auto"/>
              <w:right w:val="single" w:sz="4" w:space="0" w:color="auto"/>
            </w:tcBorders>
          </w:tcPr>
          <w:p w14:paraId="07B2E33C" w14:textId="77777777" w:rsidR="00E13AA2" w:rsidRPr="0030262E" w:rsidRDefault="00E13AA2" w:rsidP="00E13AA2">
            <w:pPr>
              <w:spacing w:line="256" w:lineRule="auto"/>
              <w:rPr>
                <w:rFonts w:ascii="Verdana" w:hAnsi="Verdana"/>
              </w:rPr>
            </w:pPr>
            <w:r w:rsidRPr="0030262E">
              <w:rPr>
                <w:rFonts w:ascii="Verdana" w:hAnsi="Verdana"/>
                <w:b/>
                <w:bCs/>
              </w:rPr>
              <w:lastRenderedPageBreak/>
              <w:t>Atitinkantis lūkesčius</w:t>
            </w:r>
            <w:r w:rsidRPr="0030262E">
              <w:rPr>
                <w:rFonts w:ascii="Verdana" w:hAnsi="Verdana"/>
              </w:rPr>
              <w:t xml:space="preserve"> – savalaikiai ir vadovaujantis išvardintais teisės aktais naudojami įstaigai skirti asignavimai.</w:t>
            </w:r>
          </w:p>
          <w:p w14:paraId="34E5A85E" w14:textId="74C42D11" w:rsidR="00E13AA2" w:rsidRPr="0030262E" w:rsidRDefault="00E13AA2" w:rsidP="00E13AA2">
            <w:pPr>
              <w:rPr>
                <w:rFonts w:ascii="Verdana" w:hAnsi="Verdana"/>
              </w:rPr>
            </w:pPr>
            <w:r w:rsidRPr="0030262E">
              <w:rPr>
                <w:rFonts w:ascii="Verdana" w:hAnsi="Verdana"/>
                <w:b/>
                <w:bCs/>
              </w:rPr>
              <w:t>Neatitinkantis lūkesčių</w:t>
            </w:r>
            <w:r w:rsidRPr="0030262E">
              <w:rPr>
                <w:rFonts w:ascii="Verdana" w:hAnsi="Verdana"/>
              </w:rPr>
              <w:t xml:space="preserve"> – nesilaikoma išvardintų teisės aktų nuostatų ir terminų.</w:t>
            </w:r>
          </w:p>
        </w:tc>
      </w:tr>
      <w:tr w:rsidR="00E13AA2" w:rsidRPr="00516B79" w14:paraId="7685596A" w14:textId="77777777" w:rsidTr="001F17C8">
        <w:tc>
          <w:tcPr>
            <w:tcW w:w="4253" w:type="dxa"/>
            <w:tcBorders>
              <w:top w:val="single" w:sz="4" w:space="0" w:color="auto"/>
              <w:left w:val="single" w:sz="4" w:space="0" w:color="auto"/>
              <w:bottom w:val="single" w:sz="4" w:space="0" w:color="auto"/>
              <w:right w:val="single" w:sz="4" w:space="0" w:color="auto"/>
            </w:tcBorders>
          </w:tcPr>
          <w:p w14:paraId="5DEBB7D1" w14:textId="1DF46EBC" w:rsidR="00E13AA2" w:rsidRPr="0030262E" w:rsidRDefault="00E13AA2" w:rsidP="00E13AA2">
            <w:pPr>
              <w:rPr>
                <w:rFonts w:ascii="Verdana" w:hAnsi="Verdana"/>
              </w:rPr>
            </w:pPr>
            <w:r w:rsidRPr="0030262E">
              <w:rPr>
                <w:rFonts w:ascii="Verdana" w:hAnsi="Verdana"/>
              </w:rPr>
              <w:t xml:space="preserve">2.5. Užtikrinti respublikinių renginių, sporto šakų pirmenybių, taurių, varžybų organizavimą ir vykdymą. </w:t>
            </w:r>
          </w:p>
        </w:tc>
        <w:tc>
          <w:tcPr>
            <w:tcW w:w="6237" w:type="dxa"/>
            <w:tcBorders>
              <w:top w:val="single" w:sz="4" w:space="0" w:color="auto"/>
              <w:left w:val="single" w:sz="4" w:space="0" w:color="auto"/>
              <w:bottom w:val="single" w:sz="4" w:space="0" w:color="auto"/>
              <w:right w:val="single" w:sz="4" w:space="0" w:color="auto"/>
            </w:tcBorders>
          </w:tcPr>
          <w:p w14:paraId="36F7BD9E" w14:textId="4548ED9A" w:rsidR="00E13AA2" w:rsidRPr="0030262E" w:rsidRDefault="00E13AA2" w:rsidP="00E13AA2">
            <w:pPr>
              <w:rPr>
                <w:rFonts w:ascii="Verdana" w:hAnsi="Verdana"/>
              </w:rPr>
            </w:pPr>
            <w:r w:rsidRPr="0030262E">
              <w:rPr>
                <w:rFonts w:ascii="Verdana" w:hAnsi="Verdana"/>
              </w:rPr>
              <w:t>Suorganizuota nemažiau kaip 20 respublikinių sporto renginių.</w:t>
            </w:r>
          </w:p>
        </w:tc>
        <w:tc>
          <w:tcPr>
            <w:tcW w:w="4962" w:type="dxa"/>
            <w:tcBorders>
              <w:top w:val="single" w:sz="4" w:space="0" w:color="auto"/>
              <w:left w:val="single" w:sz="4" w:space="0" w:color="auto"/>
              <w:bottom w:val="single" w:sz="4" w:space="0" w:color="auto"/>
              <w:right w:val="single" w:sz="4" w:space="0" w:color="auto"/>
            </w:tcBorders>
          </w:tcPr>
          <w:p w14:paraId="19CFF57B" w14:textId="77777777" w:rsidR="00E13AA2" w:rsidRPr="0030262E" w:rsidRDefault="00E13AA2" w:rsidP="00E13AA2">
            <w:pPr>
              <w:spacing w:line="256" w:lineRule="auto"/>
              <w:rPr>
                <w:rFonts w:ascii="Verdana" w:hAnsi="Verdana"/>
                <w:b/>
                <w:bCs/>
              </w:rPr>
            </w:pPr>
            <w:r w:rsidRPr="0030262E">
              <w:rPr>
                <w:rFonts w:ascii="Verdana" w:hAnsi="Verdana"/>
                <w:b/>
                <w:bCs/>
              </w:rPr>
              <w:t>Atitinkantis lūkesčius/Neatitinkantis lūkesčius</w:t>
            </w:r>
          </w:p>
          <w:p w14:paraId="5932376E" w14:textId="77777777" w:rsidR="00E13AA2" w:rsidRPr="0030262E" w:rsidRDefault="00E13AA2" w:rsidP="00E13AA2">
            <w:pPr>
              <w:jc w:val="center"/>
              <w:rPr>
                <w:rFonts w:ascii="Verdana" w:hAnsi="Verdana"/>
              </w:rPr>
            </w:pPr>
          </w:p>
        </w:tc>
      </w:tr>
      <w:tr w:rsidR="00E13AA2" w:rsidRPr="00516B79" w14:paraId="13908AE8" w14:textId="77777777" w:rsidTr="001F17C8">
        <w:tc>
          <w:tcPr>
            <w:tcW w:w="4253" w:type="dxa"/>
            <w:tcBorders>
              <w:top w:val="single" w:sz="4" w:space="0" w:color="auto"/>
              <w:left w:val="single" w:sz="4" w:space="0" w:color="auto"/>
              <w:bottom w:val="single" w:sz="4" w:space="0" w:color="auto"/>
              <w:right w:val="single" w:sz="4" w:space="0" w:color="auto"/>
            </w:tcBorders>
            <w:hideMark/>
          </w:tcPr>
          <w:p w14:paraId="6DF7171F" w14:textId="22C9CF6A" w:rsidR="00E13AA2" w:rsidRPr="0030262E" w:rsidRDefault="00E13AA2" w:rsidP="00E13AA2">
            <w:pPr>
              <w:rPr>
                <w:rFonts w:ascii="Verdana" w:hAnsi="Verdana"/>
              </w:rPr>
            </w:pPr>
            <w:r w:rsidRPr="0030262E">
              <w:rPr>
                <w:rFonts w:ascii="Verdana" w:hAnsi="Verdana"/>
              </w:rPr>
              <w:t>2.6. Sukurti ir taikyti trenerių veiklos stebėsenos sistemą</w:t>
            </w:r>
            <w:r w:rsidR="008A7747" w:rsidRPr="0030262E">
              <w:rPr>
                <w:rFonts w:ascii="Verdana" w:hAnsi="Verdana"/>
              </w:rPr>
              <w:t xml:space="preserve"> bei taikyti bendruomenės mokymąsi pasitelkiant vidinius mokymosi šaltinius.</w:t>
            </w:r>
          </w:p>
        </w:tc>
        <w:tc>
          <w:tcPr>
            <w:tcW w:w="6237" w:type="dxa"/>
            <w:tcBorders>
              <w:top w:val="single" w:sz="4" w:space="0" w:color="auto"/>
              <w:left w:val="single" w:sz="4" w:space="0" w:color="auto"/>
              <w:bottom w:val="single" w:sz="4" w:space="0" w:color="auto"/>
              <w:right w:val="single" w:sz="4" w:space="0" w:color="auto"/>
            </w:tcBorders>
          </w:tcPr>
          <w:p w14:paraId="5682C2EB" w14:textId="453340DD" w:rsidR="00D33FFC" w:rsidRPr="0030262E" w:rsidRDefault="00D33FFC" w:rsidP="00E13AA2">
            <w:pPr>
              <w:rPr>
                <w:rFonts w:ascii="Verdana" w:hAnsi="Verdana"/>
              </w:rPr>
            </w:pPr>
            <w:r w:rsidRPr="0030262E">
              <w:rPr>
                <w:rFonts w:ascii="Verdana" w:hAnsi="Verdana"/>
              </w:rPr>
              <w:t>Priemonės:</w:t>
            </w:r>
          </w:p>
          <w:p w14:paraId="53B30F2E" w14:textId="08E82623" w:rsidR="00E13AA2" w:rsidRPr="0030262E" w:rsidRDefault="00E13AA2" w:rsidP="00D33FFC">
            <w:pPr>
              <w:ind w:right="-132"/>
              <w:rPr>
                <w:rFonts w:ascii="Verdana" w:hAnsi="Verdana"/>
              </w:rPr>
            </w:pPr>
            <w:r w:rsidRPr="0030262E">
              <w:rPr>
                <w:rFonts w:ascii="Verdana" w:hAnsi="Verdana"/>
              </w:rPr>
              <w:t>1. Sukurta ir taikoma trenerių veiklos stebėsenos sistema, kurios metu reguliariai stebimi ir aptariami vykdomi</w:t>
            </w:r>
            <w:r w:rsidR="00D33FFC" w:rsidRPr="0030262E">
              <w:rPr>
                <w:rFonts w:ascii="Verdana" w:hAnsi="Verdana"/>
              </w:rPr>
              <w:t xml:space="preserve"> </w:t>
            </w:r>
            <w:r w:rsidRPr="0030262E">
              <w:rPr>
                <w:rFonts w:ascii="Verdana" w:hAnsi="Verdana"/>
              </w:rPr>
              <w:t>užsiėmimai, analizuojame ugdytinių pasiekimai ir priimami</w:t>
            </w:r>
            <w:r w:rsidR="00D33FFC" w:rsidRPr="0030262E">
              <w:rPr>
                <w:rFonts w:ascii="Verdana" w:hAnsi="Verdana"/>
              </w:rPr>
              <w:t xml:space="preserve"> </w:t>
            </w:r>
            <w:r w:rsidRPr="0030262E">
              <w:rPr>
                <w:rFonts w:ascii="Verdana" w:hAnsi="Verdana"/>
              </w:rPr>
              <w:t xml:space="preserve">sprendimai jiems gerinti. </w:t>
            </w:r>
          </w:p>
          <w:p w14:paraId="5256CF63" w14:textId="4D4F50B3" w:rsidR="00D33FFC" w:rsidRPr="0030262E" w:rsidRDefault="00D33FFC" w:rsidP="00E13AA2">
            <w:pPr>
              <w:rPr>
                <w:rFonts w:ascii="Verdana" w:hAnsi="Verdana"/>
              </w:rPr>
            </w:pPr>
            <w:r w:rsidRPr="0030262E">
              <w:rPr>
                <w:rFonts w:ascii="Verdana" w:hAnsi="Verdana"/>
              </w:rPr>
              <w:t xml:space="preserve">3. 20 proc. sporto trenerių organizuoja atviras treniruotes, reflektuoja posėdžiuose.  </w:t>
            </w:r>
          </w:p>
          <w:p w14:paraId="22FCC4F8" w14:textId="2C5DEC9F" w:rsidR="00E13AA2" w:rsidRPr="0030262E" w:rsidRDefault="00E13AA2" w:rsidP="00E13AA2">
            <w:pPr>
              <w:rPr>
                <w:rFonts w:ascii="Verdana" w:hAnsi="Verdana"/>
              </w:rPr>
            </w:pPr>
            <w:r w:rsidRPr="0030262E">
              <w:rPr>
                <w:rFonts w:ascii="Verdana" w:hAnsi="Verdana"/>
              </w:rPr>
              <w:t>2. Stebėta ne mažiau kaip 30 treniruočių</w:t>
            </w:r>
            <w:r w:rsidR="00D33FFC" w:rsidRPr="0030262E">
              <w:rPr>
                <w:rFonts w:ascii="Verdana" w:hAnsi="Verdana"/>
              </w:rPr>
              <w:t xml:space="preserve"> kurios </w:t>
            </w:r>
            <w:r w:rsidRPr="0030262E">
              <w:rPr>
                <w:rFonts w:ascii="Verdana" w:hAnsi="Verdana"/>
              </w:rPr>
              <w:t>užfiksuot</w:t>
            </w:r>
            <w:r w:rsidR="00D33FFC" w:rsidRPr="0030262E">
              <w:rPr>
                <w:rFonts w:ascii="Verdana" w:hAnsi="Verdana"/>
              </w:rPr>
              <w:t xml:space="preserve">os raštiškai </w:t>
            </w:r>
            <w:r w:rsidR="008A7747" w:rsidRPr="0030262E">
              <w:rPr>
                <w:rFonts w:ascii="Verdana" w:hAnsi="Verdana"/>
              </w:rPr>
              <w:t xml:space="preserve">ir </w:t>
            </w:r>
            <w:r w:rsidR="00D33FFC" w:rsidRPr="0030262E">
              <w:rPr>
                <w:rFonts w:ascii="Verdana" w:hAnsi="Verdana"/>
              </w:rPr>
              <w:t>vykdoma</w:t>
            </w:r>
            <w:r w:rsidR="008A7747" w:rsidRPr="0030262E">
              <w:rPr>
                <w:rFonts w:ascii="Verdana" w:hAnsi="Verdana"/>
              </w:rPr>
              <w:t>s</w:t>
            </w:r>
            <w:r w:rsidR="00D33FFC" w:rsidRPr="0030262E">
              <w:rPr>
                <w:rFonts w:ascii="Verdana" w:hAnsi="Verdana"/>
              </w:rPr>
              <w:t xml:space="preserve"> </w:t>
            </w:r>
            <w:r w:rsidR="008A7747" w:rsidRPr="0030262E">
              <w:rPr>
                <w:rFonts w:ascii="Verdana" w:hAnsi="Verdana"/>
              </w:rPr>
              <w:t xml:space="preserve"> jų </w:t>
            </w:r>
            <w:r w:rsidR="00D33FFC" w:rsidRPr="0030262E">
              <w:rPr>
                <w:rFonts w:ascii="Verdana" w:hAnsi="Verdana"/>
              </w:rPr>
              <w:t>aptarima</w:t>
            </w:r>
            <w:r w:rsidR="008A7747" w:rsidRPr="0030262E">
              <w:rPr>
                <w:rFonts w:ascii="Verdana" w:hAnsi="Verdana"/>
              </w:rPr>
              <w:t>s</w:t>
            </w:r>
            <w:r w:rsidR="00D33FFC" w:rsidRPr="0030262E">
              <w:rPr>
                <w:rFonts w:ascii="Verdana" w:hAnsi="Verdana"/>
              </w:rPr>
              <w:t>.</w:t>
            </w:r>
          </w:p>
          <w:p w14:paraId="3B3EF59A" w14:textId="3DA5CE92" w:rsidR="00E13AA2" w:rsidRPr="0030262E" w:rsidRDefault="00E13AA2" w:rsidP="00E13AA2">
            <w:pPr>
              <w:rPr>
                <w:rFonts w:ascii="Verdana" w:hAnsi="Verdana"/>
              </w:rPr>
            </w:pPr>
          </w:p>
        </w:tc>
        <w:tc>
          <w:tcPr>
            <w:tcW w:w="4962" w:type="dxa"/>
            <w:tcBorders>
              <w:top w:val="single" w:sz="4" w:space="0" w:color="auto"/>
              <w:left w:val="single" w:sz="4" w:space="0" w:color="auto"/>
              <w:bottom w:val="single" w:sz="4" w:space="0" w:color="auto"/>
              <w:right w:val="single" w:sz="4" w:space="0" w:color="auto"/>
            </w:tcBorders>
          </w:tcPr>
          <w:p w14:paraId="331272C4" w14:textId="60570A8B" w:rsidR="00E13AA2" w:rsidRPr="0030262E" w:rsidRDefault="00E13AA2" w:rsidP="00E13AA2">
            <w:pPr>
              <w:spacing w:line="256" w:lineRule="auto"/>
              <w:rPr>
                <w:rFonts w:ascii="Verdana" w:hAnsi="Verdana"/>
              </w:rPr>
            </w:pPr>
            <w:r w:rsidRPr="0030262E">
              <w:rPr>
                <w:rFonts w:ascii="Verdana" w:hAnsi="Verdana"/>
                <w:b/>
                <w:bCs/>
              </w:rPr>
              <w:t>Atitinkanti lūkesčius</w:t>
            </w:r>
            <w:r w:rsidRPr="0030262E">
              <w:rPr>
                <w:rFonts w:ascii="Verdana" w:hAnsi="Verdana"/>
              </w:rPr>
              <w:t xml:space="preserve"> – įgyvendina visas priemones   </w:t>
            </w:r>
          </w:p>
          <w:p w14:paraId="65C9AA62" w14:textId="5743D27A" w:rsidR="00E13AA2" w:rsidRPr="0030262E" w:rsidRDefault="00E13AA2" w:rsidP="00E13AA2">
            <w:pPr>
              <w:spacing w:line="256" w:lineRule="auto"/>
              <w:rPr>
                <w:rFonts w:ascii="Verdana" w:hAnsi="Verdana"/>
              </w:rPr>
            </w:pPr>
            <w:r w:rsidRPr="0030262E">
              <w:rPr>
                <w:rFonts w:ascii="Verdana" w:hAnsi="Verdana"/>
                <w:b/>
                <w:bCs/>
              </w:rPr>
              <w:t>Iš dalies atitinkanti</w:t>
            </w:r>
            <w:r w:rsidRPr="0030262E">
              <w:rPr>
                <w:rFonts w:ascii="Verdana" w:hAnsi="Verdana"/>
              </w:rPr>
              <w:t xml:space="preserve"> – įgyvendina 2 priemones </w:t>
            </w:r>
          </w:p>
          <w:p w14:paraId="049A6D80" w14:textId="755DF9BA" w:rsidR="00E13AA2" w:rsidRPr="0030262E" w:rsidRDefault="00E13AA2" w:rsidP="00E13AA2">
            <w:pPr>
              <w:spacing w:line="256" w:lineRule="auto"/>
              <w:rPr>
                <w:rFonts w:ascii="Verdana" w:hAnsi="Verdana"/>
              </w:rPr>
            </w:pPr>
            <w:r w:rsidRPr="0030262E">
              <w:rPr>
                <w:rFonts w:ascii="Verdana" w:hAnsi="Verdana"/>
                <w:b/>
                <w:bCs/>
              </w:rPr>
              <w:t>Neatitinkanti lūkesčius</w:t>
            </w:r>
            <w:r w:rsidRPr="0030262E">
              <w:rPr>
                <w:rFonts w:ascii="Verdana" w:hAnsi="Verdana"/>
              </w:rPr>
              <w:t xml:space="preserve"> – </w:t>
            </w:r>
            <w:r w:rsidR="008A7747" w:rsidRPr="0030262E">
              <w:rPr>
                <w:rFonts w:ascii="Verdana" w:hAnsi="Verdana"/>
              </w:rPr>
              <w:t>1 priemonę</w:t>
            </w:r>
            <w:r w:rsidRPr="0030262E">
              <w:rPr>
                <w:rFonts w:ascii="Verdana" w:hAnsi="Verdana"/>
              </w:rPr>
              <w:t xml:space="preserve"> </w:t>
            </w:r>
          </w:p>
          <w:p w14:paraId="7960D9CD" w14:textId="77777777" w:rsidR="00E13AA2" w:rsidRPr="0030262E" w:rsidRDefault="00E13AA2" w:rsidP="00E13AA2">
            <w:pPr>
              <w:jc w:val="center"/>
              <w:rPr>
                <w:rFonts w:ascii="Verdana" w:hAnsi="Verdana"/>
              </w:rPr>
            </w:pPr>
          </w:p>
        </w:tc>
      </w:tr>
    </w:tbl>
    <w:p w14:paraId="2B2D9C75" w14:textId="77777777" w:rsidR="001B03E4" w:rsidRPr="00516B79" w:rsidRDefault="001B03E4">
      <w:pPr>
        <w:rPr>
          <w:rFonts w:ascii="Verdana" w:hAnsi="Verdana"/>
        </w:rPr>
      </w:pPr>
    </w:p>
    <w:sectPr w:rsidR="001B03E4" w:rsidRPr="00516B79" w:rsidSect="001F17C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567"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18A4" w14:textId="77777777" w:rsidR="00496D25" w:rsidRDefault="00496D25">
      <w:r>
        <w:separator/>
      </w:r>
    </w:p>
  </w:endnote>
  <w:endnote w:type="continuationSeparator" w:id="0">
    <w:p w14:paraId="3C9F19A8" w14:textId="77777777" w:rsidR="00496D25" w:rsidRDefault="0049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8975" w14:textId="77777777" w:rsidR="001B03E4" w:rsidRDefault="001B03E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9970" w14:textId="77777777" w:rsidR="001B03E4" w:rsidRDefault="001B03E4">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FCFF" w14:textId="77777777" w:rsidR="001B03E4" w:rsidRDefault="001B03E4">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B12F" w14:textId="77777777" w:rsidR="00496D25" w:rsidRDefault="00496D25">
      <w:r>
        <w:separator/>
      </w:r>
    </w:p>
  </w:footnote>
  <w:footnote w:type="continuationSeparator" w:id="0">
    <w:p w14:paraId="5A23A343" w14:textId="77777777" w:rsidR="00496D25" w:rsidRDefault="0049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D5C5" w14:textId="0CF4046E" w:rsidR="001B03E4" w:rsidRDefault="002A5142">
    <w:pPr>
      <w:framePr w:wrap="auto" w:vAnchor="text" w:hAnchor="margin" w:xAlign="center" w:y="1"/>
      <w:tabs>
        <w:tab w:val="center" w:pos="4153"/>
        <w:tab w:val="right" w:pos="8306"/>
      </w:tabs>
      <w:spacing w:after="160" w:line="259" w:lineRule="auto"/>
    </w:pPr>
    <w:r>
      <w:fldChar w:fldCharType="begin"/>
    </w:r>
    <w:r>
      <w:instrText xml:space="preserve">PAGE  </w:instrText>
    </w:r>
    <w:r>
      <w:fldChar w:fldCharType="separate"/>
    </w:r>
    <w:r w:rsidR="00AF3B17">
      <w:rPr>
        <w:noProof/>
      </w:rPr>
      <w:t>1</w:t>
    </w:r>
    <w:r>
      <w:fldChar w:fldCharType="end"/>
    </w:r>
  </w:p>
  <w:p w14:paraId="6934C5DF" w14:textId="77777777" w:rsidR="001B03E4" w:rsidRDefault="001B03E4">
    <w:pPr>
      <w:tabs>
        <w:tab w:val="center" w:pos="4153"/>
        <w:tab w:val="right" w:pos="8306"/>
      </w:tabs>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988C" w14:textId="77777777" w:rsidR="001B03E4" w:rsidRDefault="002A5142">
    <w:pPr>
      <w:framePr w:wrap="auto" w:vAnchor="text" w:hAnchor="margin" w:xAlign="center" w:y="1"/>
      <w:tabs>
        <w:tab w:val="center" w:pos="4153"/>
        <w:tab w:val="right" w:pos="8306"/>
      </w:tabs>
      <w:spacing w:after="160" w:line="259" w:lineRule="auto"/>
    </w:pPr>
    <w:r>
      <w:fldChar w:fldCharType="begin"/>
    </w:r>
    <w:r>
      <w:instrText xml:space="preserve">PAGE  </w:instrText>
    </w:r>
    <w:r>
      <w:fldChar w:fldCharType="separate"/>
    </w:r>
    <w:r>
      <w:t>3</w:t>
    </w:r>
    <w:r>
      <w:fldChar w:fldCharType="end"/>
    </w:r>
  </w:p>
  <w:p w14:paraId="01011C70" w14:textId="77777777" w:rsidR="001B03E4" w:rsidRDefault="001B03E4">
    <w:pPr>
      <w:tabs>
        <w:tab w:val="center" w:pos="4153"/>
        <w:tab w:val="right" w:pos="8306"/>
      </w:tabs>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3857" w14:textId="77777777" w:rsidR="001B03E4" w:rsidRDefault="001B03E4">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5F7"/>
    <w:multiLevelType w:val="hybridMultilevel"/>
    <w:tmpl w:val="CE6A3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282FF9"/>
    <w:multiLevelType w:val="hybridMultilevel"/>
    <w:tmpl w:val="A4D05F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C435FEC"/>
    <w:multiLevelType w:val="hybridMultilevel"/>
    <w:tmpl w:val="8D686B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861D02"/>
    <w:multiLevelType w:val="hybridMultilevel"/>
    <w:tmpl w:val="FE92E7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AD2499"/>
    <w:multiLevelType w:val="hybridMultilevel"/>
    <w:tmpl w:val="677EB068"/>
    <w:lvl w:ilvl="0" w:tplc="042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F2E7B47"/>
    <w:multiLevelType w:val="hybridMultilevel"/>
    <w:tmpl w:val="3DDC9E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AA435F6"/>
    <w:multiLevelType w:val="hybridMultilevel"/>
    <w:tmpl w:val="B554C9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C0A5DCF"/>
    <w:multiLevelType w:val="hybridMultilevel"/>
    <w:tmpl w:val="0BA4E61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5CC078E7"/>
    <w:multiLevelType w:val="hybridMultilevel"/>
    <w:tmpl w:val="0BBEF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7113EAC"/>
    <w:multiLevelType w:val="hybridMultilevel"/>
    <w:tmpl w:val="11287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860059B"/>
    <w:multiLevelType w:val="hybridMultilevel"/>
    <w:tmpl w:val="93607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D14749A"/>
    <w:multiLevelType w:val="hybridMultilevel"/>
    <w:tmpl w:val="F24AB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06E0E0C"/>
    <w:multiLevelType w:val="hybridMultilevel"/>
    <w:tmpl w:val="0B540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07038410">
    <w:abstractNumId w:val="2"/>
  </w:num>
  <w:num w:numId="2" w16cid:durableId="1860044029">
    <w:abstractNumId w:val="3"/>
  </w:num>
  <w:num w:numId="3" w16cid:durableId="1871609067">
    <w:abstractNumId w:val="1"/>
  </w:num>
  <w:num w:numId="4" w16cid:durableId="2085293248">
    <w:abstractNumId w:val="7"/>
  </w:num>
  <w:num w:numId="5" w16cid:durableId="959722271">
    <w:abstractNumId w:val="12"/>
  </w:num>
  <w:num w:numId="6" w16cid:durableId="1055743126">
    <w:abstractNumId w:val="5"/>
  </w:num>
  <w:num w:numId="7" w16cid:durableId="1397046754">
    <w:abstractNumId w:val="6"/>
  </w:num>
  <w:num w:numId="8" w16cid:durableId="51927104">
    <w:abstractNumId w:val="10"/>
  </w:num>
  <w:num w:numId="9" w16cid:durableId="90593831">
    <w:abstractNumId w:val="8"/>
  </w:num>
  <w:num w:numId="10" w16cid:durableId="1402480755">
    <w:abstractNumId w:val="11"/>
  </w:num>
  <w:num w:numId="11" w16cid:durableId="557597283">
    <w:abstractNumId w:val="0"/>
  </w:num>
  <w:num w:numId="12" w16cid:durableId="1940525806">
    <w:abstractNumId w:val="9"/>
  </w:num>
  <w:num w:numId="13" w16cid:durableId="119419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02C20"/>
    <w:rsid w:val="00031ABD"/>
    <w:rsid w:val="00037493"/>
    <w:rsid w:val="000469F1"/>
    <w:rsid w:val="00072B2A"/>
    <w:rsid w:val="00096CAE"/>
    <w:rsid w:val="000A743C"/>
    <w:rsid w:val="000B7048"/>
    <w:rsid w:val="000C0C27"/>
    <w:rsid w:val="000D0BAA"/>
    <w:rsid w:val="000D3AE6"/>
    <w:rsid w:val="000D77A4"/>
    <w:rsid w:val="001219FD"/>
    <w:rsid w:val="00143699"/>
    <w:rsid w:val="001569AE"/>
    <w:rsid w:val="00167EC8"/>
    <w:rsid w:val="001756FD"/>
    <w:rsid w:val="001854E3"/>
    <w:rsid w:val="00195A33"/>
    <w:rsid w:val="001A6F31"/>
    <w:rsid w:val="001B03E4"/>
    <w:rsid w:val="001C2B12"/>
    <w:rsid w:val="001C5EDE"/>
    <w:rsid w:val="001E1674"/>
    <w:rsid w:val="001F17C8"/>
    <w:rsid w:val="002216D0"/>
    <w:rsid w:val="00227793"/>
    <w:rsid w:val="002428EC"/>
    <w:rsid w:val="00247B6D"/>
    <w:rsid w:val="00251BF9"/>
    <w:rsid w:val="0027708F"/>
    <w:rsid w:val="002A5142"/>
    <w:rsid w:val="002B0E83"/>
    <w:rsid w:val="002B786C"/>
    <w:rsid w:val="002D4B9B"/>
    <w:rsid w:val="002F7491"/>
    <w:rsid w:val="0030262E"/>
    <w:rsid w:val="00306887"/>
    <w:rsid w:val="003128F6"/>
    <w:rsid w:val="00313AD9"/>
    <w:rsid w:val="00320CE2"/>
    <w:rsid w:val="00326D2C"/>
    <w:rsid w:val="00327893"/>
    <w:rsid w:val="00341867"/>
    <w:rsid w:val="00353902"/>
    <w:rsid w:val="00371810"/>
    <w:rsid w:val="0038459B"/>
    <w:rsid w:val="003D3430"/>
    <w:rsid w:val="003D4D01"/>
    <w:rsid w:val="003E0DAC"/>
    <w:rsid w:val="003F370F"/>
    <w:rsid w:val="00415296"/>
    <w:rsid w:val="00437E91"/>
    <w:rsid w:val="00460ABA"/>
    <w:rsid w:val="004920A7"/>
    <w:rsid w:val="00496D25"/>
    <w:rsid w:val="004C14F1"/>
    <w:rsid w:val="004C66E7"/>
    <w:rsid w:val="004D004E"/>
    <w:rsid w:val="004D71B8"/>
    <w:rsid w:val="004F1A35"/>
    <w:rsid w:val="004F5B08"/>
    <w:rsid w:val="00514A42"/>
    <w:rsid w:val="005157E3"/>
    <w:rsid w:val="00516B79"/>
    <w:rsid w:val="005366E7"/>
    <w:rsid w:val="00543EEC"/>
    <w:rsid w:val="00552055"/>
    <w:rsid w:val="005729C5"/>
    <w:rsid w:val="00586286"/>
    <w:rsid w:val="00591768"/>
    <w:rsid w:val="005B100E"/>
    <w:rsid w:val="005B57EB"/>
    <w:rsid w:val="005C0AE0"/>
    <w:rsid w:val="005D35DB"/>
    <w:rsid w:val="005E21A8"/>
    <w:rsid w:val="005E37E6"/>
    <w:rsid w:val="005F0EE9"/>
    <w:rsid w:val="0061246D"/>
    <w:rsid w:val="006178C5"/>
    <w:rsid w:val="0062740E"/>
    <w:rsid w:val="0064038E"/>
    <w:rsid w:val="006538FE"/>
    <w:rsid w:val="00683D07"/>
    <w:rsid w:val="006E42E3"/>
    <w:rsid w:val="006F696E"/>
    <w:rsid w:val="00713D5C"/>
    <w:rsid w:val="0074056B"/>
    <w:rsid w:val="007417E9"/>
    <w:rsid w:val="00773E75"/>
    <w:rsid w:val="00780458"/>
    <w:rsid w:val="0078175D"/>
    <w:rsid w:val="007B35B3"/>
    <w:rsid w:val="007B3CB7"/>
    <w:rsid w:val="007B48E2"/>
    <w:rsid w:val="007D1341"/>
    <w:rsid w:val="007E6894"/>
    <w:rsid w:val="00806F85"/>
    <w:rsid w:val="0080766D"/>
    <w:rsid w:val="008160E0"/>
    <w:rsid w:val="0083740F"/>
    <w:rsid w:val="00861562"/>
    <w:rsid w:val="00881048"/>
    <w:rsid w:val="008872E4"/>
    <w:rsid w:val="008A7747"/>
    <w:rsid w:val="008B43DB"/>
    <w:rsid w:val="008C0833"/>
    <w:rsid w:val="008D7907"/>
    <w:rsid w:val="008F1720"/>
    <w:rsid w:val="008F6A1F"/>
    <w:rsid w:val="00907575"/>
    <w:rsid w:val="0093354C"/>
    <w:rsid w:val="00936C18"/>
    <w:rsid w:val="00946EF4"/>
    <w:rsid w:val="009471D3"/>
    <w:rsid w:val="0096148F"/>
    <w:rsid w:val="009624C9"/>
    <w:rsid w:val="00992E37"/>
    <w:rsid w:val="009A451B"/>
    <w:rsid w:val="009B18D4"/>
    <w:rsid w:val="009B6B8F"/>
    <w:rsid w:val="009C3B0E"/>
    <w:rsid w:val="009D3BBE"/>
    <w:rsid w:val="009F7C38"/>
    <w:rsid w:val="00A06CC9"/>
    <w:rsid w:val="00A179A4"/>
    <w:rsid w:val="00A219DB"/>
    <w:rsid w:val="00A25971"/>
    <w:rsid w:val="00A450C0"/>
    <w:rsid w:val="00A46200"/>
    <w:rsid w:val="00A54CFD"/>
    <w:rsid w:val="00A71217"/>
    <w:rsid w:val="00A75CB8"/>
    <w:rsid w:val="00A765FA"/>
    <w:rsid w:val="00A81852"/>
    <w:rsid w:val="00A913D6"/>
    <w:rsid w:val="00A97070"/>
    <w:rsid w:val="00AD0E90"/>
    <w:rsid w:val="00AD30FF"/>
    <w:rsid w:val="00AD44D2"/>
    <w:rsid w:val="00AE1900"/>
    <w:rsid w:val="00AE6055"/>
    <w:rsid w:val="00AE7BA0"/>
    <w:rsid w:val="00AF3B17"/>
    <w:rsid w:val="00B066F2"/>
    <w:rsid w:val="00B340D9"/>
    <w:rsid w:val="00B35178"/>
    <w:rsid w:val="00B36382"/>
    <w:rsid w:val="00B6461B"/>
    <w:rsid w:val="00B969EB"/>
    <w:rsid w:val="00BA332F"/>
    <w:rsid w:val="00BC1400"/>
    <w:rsid w:val="00BC3C79"/>
    <w:rsid w:val="00BE5169"/>
    <w:rsid w:val="00BE64EA"/>
    <w:rsid w:val="00BF413E"/>
    <w:rsid w:val="00BF6B6E"/>
    <w:rsid w:val="00C008DB"/>
    <w:rsid w:val="00C050F1"/>
    <w:rsid w:val="00C2168A"/>
    <w:rsid w:val="00C258FC"/>
    <w:rsid w:val="00C25A52"/>
    <w:rsid w:val="00C2765E"/>
    <w:rsid w:val="00C27BB2"/>
    <w:rsid w:val="00C40A49"/>
    <w:rsid w:val="00C66E47"/>
    <w:rsid w:val="00C67E4F"/>
    <w:rsid w:val="00C93D90"/>
    <w:rsid w:val="00CB5057"/>
    <w:rsid w:val="00CB6698"/>
    <w:rsid w:val="00D060D9"/>
    <w:rsid w:val="00D304DE"/>
    <w:rsid w:val="00D33FFC"/>
    <w:rsid w:val="00D45F88"/>
    <w:rsid w:val="00D476CC"/>
    <w:rsid w:val="00D52FAA"/>
    <w:rsid w:val="00D5327E"/>
    <w:rsid w:val="00D57D2C"/>
    <w:rsid w:val="00D6707D"/>
    <w:rsid w:val="00D747A8"/>
    <w:rsid w:val="00D77C40"/>
    <w:rsid w:val="00D849C4"/>
    <w:rsid w:val="00D94A6F"/>
    <w:rsid w:val="00DB0B48"/>
    <w:rsid w:val="00DC4B76"/>
    <w:rsid w:val="00DE2711"/>
    <w:rsid w:val="00DE51BA"/>
    <w:rsid w:val="00DE6F5E"/>
    <w:rsid w:val="00DF3683"/>
    <w:rsid w:val="00E0508C"/>
    <w:rsid w:val="00E13AA2"/>
    <w:rsid w:val="00E20A63"/>
    <w:rsid w:val="00E31D80"/>
    <w:rsid w:val="00E43FDC"/>
    <w:rsid w:val="00E508BA"/>
    <w:rsid w:val="00E55F54"/>
    <w:rsid w:val="00E6065F"/>
    <w:rsid w:val="00E8796A"/>
    <w:rsid w:val="00E91B04"/>
    <w:rsid w:val="00EA51C8"/>
    <w:rsid w:val="00EC054E"/>
    <w:rsid w:val="00EC5484"/>
    <w:rsid w:val="00EC6152"/>
    <w:rsid w:val="00EC772B"/>
    <w:rsid w:val="00F122C2"/>
    <w:rsid w:val="00F218F3"/>
    <w:rsid w:val="00F30959"/>
    <w:rsid w:val="00F32958"/>
    <w:rsid w:val="00F42DE6"/>
    <w:rsid w:val="00F51CE4"/>
    <w:rsid w:val="00F63E5B"/>
    <w:rsid w:val="00F934E4"/>
    <w:rsid w:val="00FA6A6F"/>
    <w:rsid w:val="00FD572C"/>
    <w:rsid w:val="00FF58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3D370"/>
  <w15:docId w15:val="{F462F0D7-F3CF-442B-8E8C-478F6A2C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F413E"/>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customStyle="1" w:styleId="normaltextrun">
    <w:name w:val="normaltextrun"/>
    <w:basedOn w:val="Numatytasispastraiposriftas"/>
    <w:rsid w:val="00C25A52"/>
    <w:rPr>
      <w:rFonts w:cs="Times New Roman"/>
    </w:rPr>
  </w:style>
  <w:style w:type="character" w:customStyle="1" w:styleId="eop">
    <w:name w:val="eop"/>
    <w:basedOn w:val="Numatytasispastraiposriftas"/>
    <w:rsid w:val="00C25A52"/>
    <w:rPr>
      <w:rFonts w:cs="Times New Roman"/>
    </w:rPr>
  </w:style>
  <w:style w:type="paragraph" w:customStyle="1" w:styleId="paragraph">
    <w:name w:val="paragraph"/>
    <w:basedOn w:val="prastasis"/>
    <w:rsid w:val="00C25A52"/>
    <w:pPr>
      <w:spacing w:before="100" w:beforeAutospacing="1" w:after="100" w:afterAutospacing="1"/>
    </w:pPr>
  </w:style>
  <w:style w:type="paragraph" w:styleId="Sraopastraipa">
    <w:name w:val="List Paragraph"/>
    <w:basedOn w:val="prastasis"/>
    <w:uiPriority w:val="34"/>
    <w:qFormat/>
    <w:rsid w:val="003128F6"/>
    <w:pPr>
      <w:ind w:left="720"/>
      <w:contextualSpacing/>
    </w:pPr>
    <w:rPr>
      <w:szCs w:val="20"/>
      <w:lang w:eastAsia="en-US"/>
    </w:rPr>
  </w:style>
  <w:style w:type="paragraph" w:styleId="Porat">
    <w:name w:val="footer"/>
    <w:basedOn w:val="prastasis"/>
    <w:link w:val="PoratDiagrama"/>
    <w:rsid w:val="00BF6B6E"/>
    <w:pPr>
      <w:tabs>
        <w:tab w:val="center" w:pos="4819"/>
        <w:tab w:val="right" w:pos="9638"/>
      </w:tabs>
      <w:suppressAutoHyphens/>
      <w:autoSpaceDN w:val="0"/>
    </w:pPr>
    <w:rPr>
      <w:rFonts w:ascii="Calibri" w:eastAsia="Calibri" w:hAnsi="Calibri"/>
      <w:kern w:val="3"/>
      <w:sz w:val="22"/>
      <w:szCs w:val="22"/>
      <w:lang w:eastAsia="en-US"/>
    </w:rPr>
  </w:style>
  <w:style w:type="character" w:customStyle="1" w:styleId="PoratDiagrama">
    <w:name w:val="Poraštė Diagrama"/>
    <w:basedOn w:val="Numatytasispastraiposriftas"/>
    <w:link w:val="Porat"/>
    <w:rsid w:val="00BF6B6E"/>
    <w:rPr>
      <w:rFonts w:ascii="Calibri" w:eastAsia="Calibri" w:hAnsi="Calibri"/>
      <w:kern w:val="3"/>
      <w:sz w:val="22"/>
      <w:szCs w:val="22"/>
    </w:rPr>
  </w:style>
  <w:style w:type="character" w:customStyle="1" w:styleId="s1">
    <w:name w:val="s1"/>
    <w:basedOn w:val="Numatytasispastraiposriftas"/>
    <w:rsid w:val="00437E91"/>
  </w:style>
  <w:style w:type="paragraph" w:styleId="prastasiniatinklio">
    <w:name w:val="Normal (Web)"/>
    <w:basedOn w:val="prastasis"/>
    <w:uiPriority w:val="99"/>
    <w:unhideWhenUsed/>
    <w:rsid w:val="007405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68977291">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9716885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76523503">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59552183">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50046692">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18538391">
      <w:bodyDiv w:val="1"/>
      <w:marLeft w:val="0"/>
      <w:marRight w:val="0"/>
      <w:marTop w:val="0"/>
      <w:marBottom w:val="0"/>
      <w:divBdr>
        <w:top w:val="none" w:sz="0" w:space="0" w:color="auto"/>
        <w:left w:val="none" w:sz="0" w:space="0" w:color="auto"/>
        <w:bottom w:val="none" w:sz="0" w:space="0" w:color="auto"/>
        <w:right w:val="none" w:sz="0" w:space="0" w:color="auto"/>
      </w:divBdr>
      <w:divsChild>
        <w:div w:id="233440830">
          <w:marLeft w:val="0"/>
          <w:marRight w:val="0"/>
          <w:marTop w:val="0"/>
          <w:marBottom w:val="0"/>
          <w:divBdr>
            <w:top w:val="none" w:sz="0" w:space="0" w:color="auto"/>
            <w:left w:val="none" w:sz="0" w:space="0" w:color="auto"/>
            <w:bottom w:val="none" w:sz="0" w:space="0" w:color="auto"/>
            <w:right w:val="none" w:sz="0" w:space="0" w:color="auto"/>
          </w:divBdr>
        </w:div>
      </w:divsChild>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40CE4E835DB94CB3A38F6273712FD3" ma:contentTypeVersion="5" ma:contentTypeDescription="Create a new document." ma:contentTypeScope="" ma:versionID="f0ccc6726895e6d7a8dc0a35d9c251ff">
  <xsd:schema xmlns:xsd="http://www.w3.org/2001/XMLSchema" xmlns:xs="http://www.w3.org/2001/XMLSchema" xmlns:p="http://schemas.microsoft.com/office/2006/metadata/properties" xmlns:ns3="73314fe7-1fdf-45cf-b880-41eabbe26895" xmlns:ns4="8126912e-b267-419f-9286-73ad3c79565a" targetNamespace="http://schemas.microsoft.com/office/2006/metadata/properties" ma:root="true" ma:fieldsID="47af46d5bdb824749fbac0a04523abcd" ns3:_="" ns4:_="">
    <xsd:import namespace="73314fe7-1fdf-45cf-b880-41eabbe26895"/>
    <xsd:import namespace="8126912e-b267-419f-9286-73ad3c7956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14fe7-1fdf-45cf-b880-41eabbe26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26912e-b267-419f-9286-73ad3c795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642ED-D455-4A5B-841B-076B4646B2FD}">
  <ds:schemaRefs>
    <ds:schemaRef ds:uri="http://schemas.openxmlformats.org/officeDocument/2006/bibliography"/>
  </ds:schemaRefs>
</ds:datastoreItem>
</file>

<file path=customXml/itemProps2.xml><?xml version="1.0" encoding="utf-8"?>
<ds:datastoreItem xmlns:ds="http://schemas.openxmlformats.org/officeDocument/2006/customXml" ds:itemID="{3FDC546A-965C-4B35-9E3C-615B40B27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14fe7-1fdf-45cf-b880-41eabbe26895"/>
    <ds:schemaRef ds:uri="8126912e-b267-419f-9286-73ad3c795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9B270-7508-4AD4-82ED-55D1969855F8}">
  <ds:schemaRefs>
    <ds:schemaRef ds:uri="http://schemas.microsoft.com/sharepoint/v3/contenttype/forms"/>
  </ds:schemaRefs>
</ds:datastoreItem>
</file>

<file path=customXml/itemProps4.xml><?xml version="1.0" encoding="utf-8"?>
<ds:datastoreItem xmlns:ds="http://schemas.openxmlformats.org/officeDocument/2006/customXml" ds:itemID="{0FC039D2-B878-4322-A065-E6E1350593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2972</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Vartotojas</cp:lastModifiedBy>
  <cp:revision>4</cp:revision>
  <cp:lastPrinted>2024-01-12T11:24:00Z</cp:lastPrinted>
  <dcterms:created xsi:type="dcterms:W3CDTF">2024-02-27T08:21:00Z</dcterms:created>
  <dcterms:modified xsi:type="dcterms:W3CDTF">2024-02-27T13:05:00Z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0x0101008040CE4E835DB94CB3A38F6273712FD3</vt:lpwstr>
  </property>
</Properties>
</file>